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jpg" ContentType="image/jpe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2" w:name="nt-c的合成"/>
    <w:p>
      <w:pPr>
        <w:pStyle w:val="1"/>
      </w:pPr>
      <w:r>
        <w:t xml:space="preserve">3.4 </w:t>
      </w:r>
      <w:r>
        <w:rPr>
          <w:rFonts w:hint="eastAsia"/>
        </w:rPr>
        <w:t xml:space="preserve">NT-C的合成</w:t>
      </w:r>
    </w:p>
    <w:p>
      <w:pPr>
        <w:pStyle w:val="FirstParagraph"/>
      </w:pPr>
      <w:r>
        <w:rPr>
          <w:rFonts w:hint="eastAsia"/>
        </w:rPr>
        <w:t xml:space="preserve">反应原理：</w:t>
      </w:r>
    </w:p>
    <w:p>
      <w:pPr>
        <w:pStyle w:val="a0"/>
      </w:pPr>
      <w:r>
        <w:drawing>
          <wp:inline>
            <wp:extent cx="5486400" cy="2814761"/>
            <wp:effectExtent b="0" l="0" r="0" t="0"/>
            <wp:docPr descr="" title="" id="10" name="Picture"/>
            <a:graphic>
              <a:graphicData uri="http://schemas.openxmlformats.org/drawingml/2006/picture">
                <pic:pic>
                  <pic:nvPicPr>
                    <pic:cNvPr descr="images/3a4a2fa3ea82c53b69a6b9cfb60a8a0aa2f70971455d3b284b4a68a2db4b654e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81476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a0"/>
      </w:pPr>
      <w:r>
        <w:rPr>
          <w:rFonts w:hint="eastAsia"/>
        </w:rPr>
        <w:t xml:space="preserve">投料配比:</w:t>
      </w:r>
    </w:p>
    <w:tbl>
      <w:tblPr>
        <w:tblStyle w:val="Table"/>
        <w:tblW w:type="auto" w:w="0"/>
        <w:tblLook w:firstRow="0" w:lastRow="0" w:firstColumn="0" w:lastColumn="0" w:noHBand="0" w:noVBand="0" w:val="0000"/>
      </w:tblPr>
      <w:tblGrid>
        <w:gridCol w:w="1584"/>
        <w:gridCol w:w="1584"/>
        <w:gridCol w:w="1584"/>
        <w:gridCol w:w="1584"/>
        <w:gridCol w:w="1584"/>
      </w:tblGrid>
      <w:tr>
        <w:tc>
          <w:tcPr/>
          <w:p>
            <w:pPr>
              <w:pStyle w:val="Compact0"/>
            </w:pPr>
            <w:r>
              <w:rPr>
                <w:rFonts w:hint="eastAsia"/>
              </w:rPr>
              <w:t xml:space="preserve">原材料</w:t>
            </w:r>
          </w:p>
        </w:tc>
        <w:tc>
          <w:tcPr/>
          <w:p>
            <w:pPr>
              <w:pStyle w:val="Compact0"/>
            </w:pPr>
            <w:r>
              <w:rPr>
                <w:rFonts w:hint="eastAsia"/>
              </w:rPr>
              <w:t xml:space="preserve">摩尔配比</w:t>
            </w:r>
          </w:p>
        </w:tc>
        <w:tc>
          <w:tcPr/>
          <w:p>
            <w:pPr>
              <w:pStyle w:val="Compact0"/>
            </w:pPr>
            <w:r>
              <w:rPr>
                <w:rFonts w:hint="eastAsia"/>
              </w:rPr>
              <w:t xml:space="preserve">分子量</w:t>
            </w:r>
          </w:p>
        </w:tc>
        <w:tc>
          <w:tcPr/>
          <w:p>
            <w:pPr>
              <w:pStyle w:val="Compact0"/>
            </w:pPr>
            <w:r>
              <w:rPr>
                <w:rFonts w:hint="eastAsia"/>
              </w:rPr>
              <w:t xml:space="preserve">投量</w:t>
            </w:r>
          </w:p>
        </w:tc>
        <w:tc>
          <w:tcPr/>
          <w:p>
            <w:pPr>
              <w:pStyle w:val="Compact0"/>
            </w:pPr>
            <w:r>
              <w:rPr>
                <w:rFonts w:hint="eastAsia"/>
              </w:rPr>
              <w:t xml:space="preserve">备注</w:t>
            </w:r>
          </w:p>
        </w:tc>
      </w:tr>
      <w:tr>
        <w:tc>
          <w:tcPr/>
          <w:p>
            <w:pPr>
              <w:pStyle w:val="Compact0"/>
            </w:pPr>
            <w:r>
              <w:t xml:space="preserve">NTKW-B</w:t>
            </w:r>
          </w:p>
        </w:tc>
        <w:tc>
          <w:tcPr/>
          <w:p>
            <w:pPr>
              <w:pStyle w:val="Compact0"/>
            </w:pPr>
            <w:r>
              <w:t xml:space="preserve">1</w:t>
            </w:r>
          </w:p>
        </w:tc>
        <w:tc>
          <w:tcPr/>
          <w:p>
            <w:pPr>
              <w:pStyle w:val="Compact0"/>
            </w:pPr>
            <w:r>
              <w:t xml:space="preserve">220.26</w:t>
            </w:r>
          </w:p>
        </w:tc>
        <w:tc>
          <w:tcPr/>
          <w:p>
            <w:pPr>
              <w:pStyle w:val="Compact0"/>
            </w:pPr>
            <w:r>
              <w:t xml:space="preserve">1.9kg</w:t>
            </w:r>
          </w:p>
        </w:tc>
        <w:tc>
          <w:tcPr/>
          <w:p>
            <w:pPr>
              <w:pStyle w:val="Compact0"/>
            </w:pPr>
          </w:p>
        </w:tc>
      </w:tr>
      <w:tr>
        <w:tc>
          <w:tcPr/>
          <w:p>
            <w:pPr>
              <w:pStyle w:val="Compact0"/>
            </w:pPr>
            <w:r>
              <w:rPr>
                <w:rFonts w:hint="eastAsia"/>
              </w:rPr>
              <w:t xml:space="preserve">溴苄</w:t>
            </w:r>
          </w:p>
        </w:tc>
        <w:tc>
          <w:tcPr/>
          <w:p>
            <w:pPr>
              <w:pStyle w:val="Compact0"/>
            </w:pPr>
            <w:r>
              <w:t xml:space="preserve">1.5</w:t>
            </w:r>
          </w:p>
        </w:tc>
        <w:tc>
          <w:tcPr/>
          <w:p>
            <w:pPr>
              <w:pStyle w:val="Compact0"/>
            </w:pPr>
            <w:r>
              <w:t xml:space="preserve">171.04</w:t>
            </w:r>
          </w:p>
        </w:tc>
        <w:tc>
          <w:tcPr/>
          <w:p>
            <w:pPr>
              <w:pStyle w:val="Compact0"/>
            </w:pPr>
            <w:r>
              <w:t xml:space="preserve">2.2kg</w:t>
            </w:r>
          </w:p>
        </w:tc>
        <w:tc>
          <w:tcPr/>
          <w:p>
            <w:pPr>
              <w:pStyle w:val="Compact0"/>
            </w:pPr>
            <w:r>
              <w:rPr>
                <w:rFonts w:hint="eastAsia"/>
              </w:rPr>
              <w:t xml:space="preserve">密度</w:t>
            </w:r>
            <w:r>
              <w:t xml:space="preserve"> 1.44</w:t>
            </w:r>
          </w:p>
        </w:tc>
      </w:tr>
      <w:tr>
        <w:tc>
          <w:tcPr/>
          <w:p>
            <w:pPr>
              <w:pStyle w:val="Compact0"/>
            </w:pPr>
            <w:r>
              <w:rPr>
                <w:rFonts w:hint="eastAsia"/>
              </w:rPr>
              <w:t xml:space="preserve">钠氢</w:t>
            </w:r>
          </w:p>
        </w:tc>
        <w:tc>
          <w:tcPr/>
          <w:p>
            <w:pPr>
              <w:pStyle w:val="Compact0"/>
            </w:pPr>
            <w:r>
              <w:t xml:space="preserve">2</w:t>
            </w:r>
          </w:p>
        </w:tc>
        <w:tc>
          <w:tcPr/>
          <w:p>
            <w:pPr>
              <w:pStyle w:val="Compact0"/>
            </w:pPr>
            <w:r>
              <w:t xml:space="preserve">24.00</w:t>
            </w:r>
          </w:p>
        </w:tc>
        <w:tc>
          <w:tcPr/>
          <w:p>
            <w:pPr>
              <w:pStyle w:val="Compact0"/>
            </w:pPr>
            <w:r>
              <w:t xml:space="preserve">690g</w:t>
            </w:r>
          </w:p>
        </w:tc>
        <w:tc>
          <w:tcPr/>
          <w:p>
            <w:pPr>
              <w:pStyle w:val="Compact0"/>
            </w:pPr>
            <w:r>
              <w:rPr>
                <w:rFonts w:hint="eastAsia"/>
              </w:rPr>
              <w:t xml:space="preserve">含量60%</w:t>
            </w:r>
          </w:p>
        </w:tc>
      </w:tr>
      <w:tr>
        <w:tc>
          <w:tcPr/>
          <w:p>
            <w:pPr>
              <w:pStyle w:val="Compact0"/>
            </w:pPr>
            <w:r>
              <w:rPr>
                <w:rFonts w:hint="eastAsia"/>
              </w:rPr>
              <w:t xml:space="preserve">四丁基碘化铵</w:t>
            </w:r>
          </w:p>
        </w:tc>
        <w:tc>
          <w:tcPr/>
          <w:p>
            <w:pPr>
              <w:pStyle w:val="Compact0"/>
            </w:pPr>
            <w:r>
              <w:t xml:space="preserve">0.02</w:t>
            </w:r>
          </w:p>
        </w:tc>
        <w:tc>
          <w:tcPr/>
          <w:p>
            <w:pPr>
              <w:pStyle w:val="Compact0"/>
            </w:pPr>
            <w:r>
              <w:t xml:space="preserve">369.37</w:t>
            </w:r>
          </w:p>
        </w:tc>
        <w:tc>
          <w:tcPr/>
          <w:p>
            <w:pPr>
              <w:pStyle w:val="Compact0"/>
            </w:pPr>
            <w:r>
              <w:t xml:space="preserve">63.6g</w:t>
            </w:r>
          </w:p>
        </w:tc>
        <w:tc>
          <w:tcPr/>
          <w:p>
            <w:pPr>
              <w:pStyle w:val="Compact0"/>
            </w:pPr>
          </w:p>
        </w:tc>
      </w:tr>
      <w:tr>
        <w:tc>
          <w:tcPr/>
          <w:p>
            <w:pPr>
              <w:pStyle w:val="Compact0"/>
            </w:pPr>
            <w:r>
              <w:rPr>
                <w:rFonts w:hint="eastAsia"/>
              </w:rPr>
              <w:t xml:space="preserve">无水四氢呋喃</w:t>
            </w:r>
          </w:p>
        </w:tc>
        <w:tc>
          <w:tcPr/>
          <w:p>
            <w:pPr>
              <w:pStyle w:val="Compact0"/>
            </w:pPr>
          </w:p>
        </w:tc>
        <w:tc>
          <w:tcPr/>
          <w:p>
            <w:pPr>
              <w:pStyle w:val="Compact0"/>
            </w:pPr>
          </w:p>
        </w:tc>
        <w:tc>
          <w:tcPr/>
          <w:p>
            <w:pPr>
              <w:pStyle w:val="Compact0"/>
            </w:pPr>
            <w:r>
              <w:t xml:space="preserve">6.7L</w:t>
            </w:r>
          </w:p>
        </w:tc>
        <w:tc>
          <w:tcPr/>
          <w:p>
            <w:pPr>
              <w:pStyle w:val="Compact0"/>
            </w:pPr>
            <w:r>
              <w:rPr>
                <w:rFonts w:hint="eastAsia"/>
              </w:rPr>
              <w:t xml:space="preserve">V/M=3.5，反应</w:t>
            </w:r>
          </w:p>
        </w:tc>
      </w:tr>
      <w:tr>
        <w:tc>
          <w:tcPr/>
          <w:p>
            <w:pPr>
              <w:pStyle w:val="Compact0"/>
            </w:pPr>
            <w:r>
              <w:rPr>
                <w:rFonts w:hint="eastAsia"/>
              </w:rPr>
              <w:t xml:space="preserve">乙醇</w:t>
            </w:r>
          </w:p>
        </w:tc>
        <w:tc>
          <w:tcPr/>
          <w:p>
            <w:pPr>
              <w:pStyle w:val="Compact0"/>
            </w:pPr>
          </w:p>
        </w:tc>
        <w:tc>
          <w:tcPr/>
          <w:p>
            <w:pPr>
              <w:pStyle w:val="Compact0"/>
            </w:pPr>
          </w:p>
        </w:tc>
        <w:tc>
          <w:tcPr/>
          <w:p>
            <w:pPr>
              <w:pStyle w:val="Compact0"/>
            </w:pPr>
            <w:r>
              <w:t xml:space="preserve">1L</w:t>
            </w:r>
          </w:p>
        </w:tc>
        <w:tc>
          <w:tcPr/>
          <w:p>
            <w:pPr>
              <w:pStyle w:val="Compact0"/>
            </w:pPr>
            <w:r>
              <w:rPr>
                <w:rFonts w:hint="eastAsia"/>
              </w:rPr>
              <w:t xml:space="preserve">后处理</w:t>
            </w:r>
          </w:p>
        </w:tc>
      </w:tr>
      <w:tr>
        <w:tc>
          <w:tcPr/>
          <w:p>
            <w:pPr>
              <w:pStyle w:val="Compact0"/>
            </w:pPr>
            <w:r>
              <w:rPr>
                <w:rFonts w:hint="eastAsia"/>
              </w:rPr>
              <w:t xml:space="preserve">乙酸乙酯</w:t>
            </w:r>
          </w:p>
        </w:tc>
        <w:tc>
          <w:tcPr/>
          <w:p>
            <w:pPr>
              <w:pStyle w:val="Compact0"/>
            </w:pPr>
          </w:p>
        </w:tc>
        <w:tc>
          <w:tcPr/>
          <w:p>
            <w:pPr>
              <w:pStyle w:val="Compact0"/>
            </w:pPr>
          </w:p>
        </w:tc>
        <w:tc>
          <w:tcPr/>
          <w:p>
            <w:pPr>
              <w:pStyle w:val="Compact0"/>
            </w:pPr>
            <w:r>
              <w:t xml:space="preserve">6L</w:t>
            </w:r>
          </w:p>
        </w:tc>
        <w:tc>
          <w:tcPr/>
          <w:p>
            <w:pPr>
              <w:pStyle w:val="Compact0"/>
            </w:pPr>
            <w:r>
              <w:rPr>
                <w:rFonts w:hint="eastAsia"/>
              </w:rPr>
              <w:t xml:space="preserve">后处理</w:t>
            </w:r>
          </w:p>
        </w:tc>
      </w:tr>
      <w:tr>
        <w:tc>
          <w:tcPr/>
          <w:p>
            <w:pPr>
              <w:pStyle w:val="Compact0"/>
            </w:pPr>
            <w:r>
              <w:rPr>
                <w:rFonts w:hint="eastAsia"/>
              </w:rPr>
              <w:t xml:space="preserve">乙酸乙酯</w:t>
            </w:r>
          </w:p>
        </w:tc>
        <w:tc>
          <w:tcPr/>
          <w:p>
            <w:pPr>
              <w:pStyle w:val="Compact0"/>
            </w:pPr>
          </w:p>
        </w:tc>
        <w:tc>
          <w:tcPr/>
          <w:p>
            <w:pPr>
              <w:pStyle w:val="Compact0"/>
            </w:pPr>
          </w:p>
        </w:tc>
        <w:tc>
          <w:tcPr/>
          <w:p>
            <w:pPr>
              <w:pStyle w:val="Compact0"/>
            </w:pPr>
            <w:r>
              <w:t xml:space="preserve">20L</w:t>
            </w:r>
          </w:p>
        </w:tc>
        <w:tc>
          <w:tcPr/>
          <w:p>
            <w:pPr>
              <w:pStyle w:val="Compact0"/>
            </w:pPr>
            <w:r>
              <w:rPr>
                <w:rFonts w:hint="eastAsia"/>
              </w:rPr>
              <w:t xml:space="preserve">过柱</w:t>
            </w:r>
          </w:p>
        </w:tc>
      </w:tr>
      <w:tr>
        <w:tc>
          <w:tcPr/>
          <w:p>
            <w:pPr>
              <w:pStyle w:val="Compact0"/>
            </w:pPr>
            <w:r>
              <w:rPr>
                <w:rFonts w:hint="eastAsia"/>
              </w:rPr>
              <w:t xml:space="preserve">石油醚</w:t>
            </w:r>
          </w:p>
        </w:tc>
        <w:tc>
          <w:tcPr/>
          <w:p>
            <w:pPr>
              <w:pStyle w:val="Compact0"/>
            </w:pPr>
          </w:p>
        </w:tc>
        <w:tc>
          <w:tcPr/>
          <w:p>
            <w:pPr>
              <w:pStyle w:val="Compact0"/>
            </w:pPr>
          </w:p>
        </w:tc>
        <w:tc>
          <w:tcPr/>
          <w:p>
            <w:pPr>
              <w:pStyle w:val="Compact0"/>
            </w:pPr>
            <w:r>
              <w:t xml:space="preserve">99L</w:t>
            </w:r>
          </w:p>
        </w:tc>
        <w:tc>
          <w:tcPr/>
          <w:p>
            <w:pPr>
              <w:pStyle w:val="Compact0"/>
            </w:pPr>
            <w:r>
              <w:rPr>
                <w:rFonts w:hint="eastAsia"/>
              </w:rPr>
              <w:t xml:space="preserve">过柱</w:t>
            </w:r>
          </w:p>
        </w:tc>
      </w:tr>
      <w:tr>
        <w:tc>
          <w:tcPr/>
          <w:p>
            <w:pPr>
              <w:pStyle w:val="Compact0"/>
            </w:pPr>
            <w:r>
              <w:rPr>
                <w:rFonts w:hint="eastAsia"/>
              </w:rPr>
              <w:t xml:space="preserve">无水硫酸钠</w:t>
            </w:r>
          </w:p>
        </w:tc>
        <w:tc>
          <w:tcPr/>
          <w:p>
            <w:pPr>
              <w:pStyle w:val="Compact0"/>
            </w:pPr>
          </w:p>
        </w:tc>
        <w:tc>
          <w:tcPr/>
          <w:p>
            <w:pPr>
              <w:pStyle w:val="Compact0"/>
            </w:pPr>
          </w:p>
        </w:tc>
        <w:tc>
          <w:tcPr/>
          <w:p>
            <w:pPr>
              <w:pStyle w:val="Compact0"/>
            </w:pPr>
            <w:r>
              <w:t xml:space="preserve">500g</w:t>
            </w:r>
          </w:p>
        </w:tc>
        <w:tc>
          <w:tcPr/>
          <w:p>
            <w:pPr>
              <w:pStyle w:val="Compact0"/>
            </w:pPr>
          </w:p>
        </w:tc>
      </w:tr>
    </w:tbl>
    <w:p>
      <w:pPr>
        <w:pStyle w:val="a0"/>
      </w:pPr>
      <w:r>
        <w:rPr>
          <w:rFonts w:hint="eastAsia"/>
        </w:rPr>
        <w:t xml:space="preserve">操作过程:</w:t>
      </w:r>
    </w:p>
    <w:tbl>
      <w:tblPr>
        <w:tblStyle w:val="Table"/>
        <w:tblW w:type="auto" w:w="0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Compact0"/>
            </w:pPr>
            <w:r>
              <w:rPr>
                <w:rFonts w:hint="eastAsia"/>
              </w:rPr>
              <w:t xml:space="preserve">步骤</w:t>
            </w:r>
          </w:p>
        </w:tc>
        <w:tc>
          <w:tcPr/>
          <w:p>
            <w:pPr>
              <w:pStyle w:val="Compact0"/>
            </w:pPr>
            <w:r>
              <w:rPr>
                <w:rFonts w:hint="eastAsia"/>
              </w:rPr>
              <w:t xml:space="preserve">工艺描述</w:t>
            </w:r>
          </w:p>
        </w:tc>
        <w:tc>
          <w:tcPr/>
          <w:p>
            <w:pPr>
              <w:pStyle w:val="Compact0"/>
            </w:pPr>
            <w:r>
              <w:rPr>
                <w:rFonts w:hint="eastAsia"/>
              </w:rPr>
              <w:t xml:space="preserve">估计时间</w:t>
            </w:r>
            <w:r>
              <w:t xml:space="preserve"> </w:t>
            </w:r>
            <w:r>
              <w:rPr>
                <w:rFonts w:hint="eastAsia"/>
              </w:rPr>
              <w:t xml:space="preserve">（分钟）</w:t>
            </w:r>
          </w:p>
        </w:tc>
      </w:tr>
      <w:tr>
        <w:tc>
          <w:tcPr/>
          <w:p>
            <w:pPr>
              <w:pStyle w:val="Compact0"/>
            </w:pPr>
            <w:r>
              <w:rPr>
                <w:rFonts w:hint="eastAsia"/>
              </w:rPr>
              <w:t xml:space="preserve">1.投</w:t>
            </w:r>
            <w:r>
              <w:t xml:space="preserve"> </w:t>
            </w:r>
            <w:r>
              <w:rPr>
                <w:rFonts w:hint="eastAsia"/>
              </w:rPr>
              <w:t xml:space="preserve">料反</w:t>
            </w:r>
            <w:r>
              <w:t xml:space="preserve"> </w:t>
            </w:r>
            <w:r>
              <w:rPr>
                <w:rFonts w:hint="eastAsia"/>
              </w:rPr>
              <w:t xml:space="preserve">应</w:t>
            </w:r>
          </w:p>
        </w:tc>
        <w:tc>
          <w:tcPr/>
          <w:p>
            <w:pPr>
              <w:pStyle w:val="Compact0"/>
            </w:pPr>
            <w:r>
              <w:rPr>
                <w:rFonts w:hint="eastAsia"/>
              </w:rPr>
              <w:t xml:space="preserve">向反应瓶中加入690gNaH(60%)和</w:t>
            </w:r>
            <w:r>
              <w:t xml:space="preserve"> </w:t>
            </w:r>
            <w:r>
              <w:rPr>
                <w:rFonts w:hint="eastAsia"/>
              </w:rPr>
              <w:t xml:space="preserve">5LTHF，1.9KgNT-B</w:t>
            </w:r>
            <w:r>
              <w:t xml:space="preserve"> </w:t>
            </w:r>
            <w:r>
              <w:rPr>
                <w:rFonts w:hint="eastAsia"/>
              </w:rPr>
              <w:t xml:space="preserve">加入2L无水THF，滴加入上述体系中，30分钟内滴完，控</w:t>
            </w:r>
            <w:r>
              <w:t xml:space="preserve"> </w:t>
            </w:r>
            <w:r>
              <w:rPr>
                <w:rFonts w:hint="eastAsia"/>
              </w:rPr>
              <w:t xml:space="preserve">温35-45℃。滴毕加热至40℃反应1h,降温至30℃,加入63.6g</w:t>
            </w:r>
            <w:r>
              <w:t xml:space="preserve"> </w:t>
            </w:r>
            <w:r>
              <w:rPr>
                <w:rFonts w:hint="eastAsia"/>
              </w:rPr>
              <w:t xml:space="preserve">四丁基溴化铵，加入2.2kg溴苄，控温40℃以下。加毕，保</w:t>
            </w:r>
            <w:r>
              <w:t xml:space="preserve"> </w:t>
            </w:r>
            <w:r>
              <w:rPr>
                <w:rFonts w:hint="eastAsia"/>
              </w:rPr>
              <w:t xml:space="preserve">温30℃反应1h。TLC(乙酸乙酯：石油醚=1:3)监测反应反应</w:t>
            </w:r>
          </w:p>
        </w:tc>
        <w:tc>
          <w:tcPr/>
          <w:p>
            <w:pPr>
              <w:pStyle w:val="Compact0"/>
            </w:pPr>
            <w:r>
              <w:rPr>
                <w:rFonts w:hint="eastAsia"/>
              </w:rPr>
              <w:t xml:space="preserve">6小时</w:t>
            </w:r>
          </w:p>
        </w:tc>
      </w:tr>
      <w:tr>
        <w:tc>
          <w:tcPr/>
          <w:p>
            <w:pPr>
              <w:pStyle w:val="Compact0"/>
            </w:pPr>
            <w:r>
              <w:rPr>
                <w:rFonts w:hint="eastAsia"/>
              </w:rPr>
              <w:t xml:space="preserve">2.后</w:t>
            </w:r>
          </w:p>
        </w:tc>
        <w:tc>
          <w:tcPr/>
          <w:p>
            <w:pPr>
              <w:pStyle w:val="Compact0"/>
            </w:pPr>
            <w:r>
              <w:rPr>
                <w:rFonts w:hint="eastAsia"/>
              </w:rPr>
              <w:t xml:space="preserve">完毕。</w:t>
            </w:r>
            <w:r>
              <w:t xml:space="preserve"> </w:t>
            </w:r>
            <w:r>
              <w:rPr>
                <w:rFonts w:hint="eastAsia"/>
              </w:rPr>
              <w:t xml:space="preserve">反应完毕后，降温至10℃，分批加入1L乙醇，1L</w:t>
            </w:r>
            <w:r>
              <w:t xml:space="preserve"> </w:t>
            </w:r>
            <w:r>
              <w:rPr>
                <w:rFonts w:hint="eastAsia"/>
              </w:rPr>
              <w:t xml:space="preserve">水淬</w:t>
            </w:r>
          </w:p>
        </w:tc>
        <w:tc>
          <w:tcPr/>
          <w:p>
            <w:pPr>
              <w:pStyle w:val="Compact0"/>
            </w:pPr>
            <w:r>
              <w:rPr>
                <w:rFonts w:hint="eastAsia"/>
              </w:rPr>
              <w:t xml:space="preserve">3小时</w:t>
            </w:r>
          </w:p>
        </w:tc>
      </w:tr>
    </w:tbl>
    <w:bookmarkEnd w:id="12"/>
    <w:sectPr w:rsidR="002F2FBF">
      <w:footnotePr>
        <w:numRestart w:val="eachSect"/>
      </w:footnotePr>
      <w:pgSz w:h="15840" w:w="12240"/>
      <w:pgMar w:bottom="1440" w:footer="720" w:gutter="0" w:header="720" w:left="1800" w:right="1800" w:top="1440"/>
      <w:cols w:space="72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="http://schemas.openxmlformats.org/officeDocument/2006/math" xmlns:mc="http://schemas.openxmlformats.org/markup-compatibility/2006" xmlns:o="urn:schemas-microsoft-com:office:office" xmlns:oel="http://schemas.microsoft.com/office/2019/extlst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w16sdtdh="http://schemas.microsoft.com/office/word/2020/wordml/sdtdatahash" xmlns:w16se="http://schemas.microsoft.com/office/word/2015/wordml/symex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16se w16cid w16 w16cex w16sdtdh wp14">
  <w:abstractNum w15:restartNumberingAfterBreak="0" w:abstractNumId="0">
    <w:nsid w:val="170CD2DE"/>
    <w:multiLevelType w:val="multilevel"/>
    <w:tmpl w:val="629A2312"/>
    <w:lvl w:ilvl="0">
      <w:numFmt w:val="bullet"/>
      <w:lvlText w:val=" "/>
      <w:lvlJc w:val="left"/>
      <w:pPr>
        <w:tabs>
          <w:tab w:pos="0" w:val="num"/>
        </w:tabs>
        <w:ind w:hanging="480" w:left="480"/>
      </w:pPr>
    </w:lvl>
    <w:lvl w:ilvl="1">
      <w:numFmt w:val="bullet"/>
      <w:lvlText w:val=" "/>
      <w:lvlJc w:val="left"/>
      <w:pPr>
        <w:tabs>
          <w:tab w:pos="720" w:val="num"/>
        </w:tabs>
        <w:ind w:hanging="480" w:left="1200"/>
      </w:pPr>
    </w:lvl>
    <w:lvl w:ilvl="2">
      <w:numFmt w:val="bullet"/>
      <w:lvlText w:val=" "/>
      <w:lvlJc w:val="left"/>
      <w:pPr>
        <w:tabs>
          <w:tab w:pos="1440" w:val="num"/>
        </w:tabs>
        <w:ind w:hanging="480" w:left="1920"/>
      </w:pPr>
    </w:lvl>
    <w:lvl w:ilvl="3">
      <w:numFmt w:val="bullet"/>
      <w:lvlText w:val=" "/>
      <w:lvlJc w:val="left"/>
      <w:pPr>
        <w:tabs>
          <w:tab w:pos="2160" w:val="num"/>
        </w:tabs>
        <w:ind w:hanging="480" w:left="2640"/>
      </w:pPr>
    </w:lvl>
    <w:lvl w:ilvl="4">
      <w:numFmt w:val="bullet"/>
      <w:lvlText w:val=" "/>
      <w:lvlJc w:val="left"/>
      <w:pPr>
        <w:tabs>
          <w:tab w:pos="2880" w:val="num"/>
        </w:tabs>
        <w:ind w:hanging="480" w:left="3360"/>
      </w:pPr>
    </w:lvl>
    <w:lvl w:ilvl="5">
      <w:numFmt w:val="bullet"/>
      <w:lvlText w:val=" "/>
      <w:lvlJc w:val="left"/>
      <w:pPr>
        <w:tabs>
          <w:tab w:pos="3600" w:val="num"/>
        </w:tabs>
        <w:ind w:hanging="480" w:left="4080"/>
      </w:pPr>
    </w:lvl>
    <w:lvl w:ilvl="6">
      <w:numFmt w:val="bullet"/>
      <w:lvlText w:val=" "/>
      <w:lvlJc w:val="left"/>
      <w:pPr>
        <w:tabs>
          <w:tab w:pos="4320" w:val="num"/>
        </w:tabs>
        <w:ind w:hanging="480" w:left="4800"/>
      </w:pPr>
    </w:lvl>
    <w:lvl w:ilvl="7">
      <w:numFmt w:val="bullet"/>
      <w:lvlText w:val=" "/>
      <w:lvlJc w:val="left"/>
      <w:pPr>
        <w:tabs>
          <w:tab w:pos="5040" w:val="num"/>
        </w:tabs>
        <w:ind w:hanging="480" w:left="5520"/>
      </w:pPr>
    </w:lvl>
    <w:lvl w:ilvl="8">
      <w:numFmt w:val="bullet"/>
      <w:lvlText w:val=" "/>
      <w:lvlJc w:val="left"/>
      <w:pPr>
        <w:tabs>
          <w:tab w:pos="5760" w:val="num"/>
        </w:tabs>
        <w:ind w:hanging="480" w:left="6240"/>
      </w:pPr>
    </w:lvl>
  </w:abstractNum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16cid:durableId="1400471036" w:numId="1">
    <w:abstractNumId w:val="0"/>
  </w: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bordersDoNotSurroundHeader/>
  <w:bordersDoNotSurroundFooter/>
  <w:proofState w:grammar="clean" w:spelling="clean"/>
  <w:stylePaneFormatFilter w:allStyles="0" w:alternateStyleNames="0" w:clearFormatting="0" w:customStyles="0" w:directFormattingOnNumbering="0" w:directFormattingOnParagraphs="0" w:directFormattingOnRuns="0" w:directFormattingOnTables="0" w:headingStyles="0" w:latentStyles="1" w:numberingStyles="0" w:stylesInUse="0" w:tableStyles="0" w:top3HeadingStyles="0" w:val="0004" w:visibleStyles="0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233A"/>
    <w:rsid w:val="00085980"/>
    <w:rsid w:val="00297854"/>
    <w:rsid w:val="002F2FBF"/>
    <w:rsid w:val="003421D2"/>
    <w:rsid w:val="005D233A"/>
    <w:rsid w:val="005E4580"/>
    <w:rsid w:val="006E3379"/>
    <w:rsid w:val="00B223CB"/>
    <w:rsid w:val="00C71066"/>
    <w:rsid w:val="00D00EB3"/>
  </w:rsids>
  <w:themeFontLang w:eastAsia="zh-CN"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shapeDefaults>
    <o:shapedefaults spidmax="1026" v:ext="edit"/>
    <o:shapelayout v:ext="edit">
      <o:idmap data="1" v:ext="edit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376" w:defLockedState="0" w:defQFormat="0" w:defSemiHidden="0" w:defUIPriority="0" w:defUnhideWhenUsed="0"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default="1" w:styleId="a" w:type="paragraph">
    <w:name w:val="Normal"/>
    <w:qFormat/>
    <w:rsid w:val="002F2FBF"/>
  </w:style>
  <w:style w:styleId="1" w:type="paragraph">
    <w:name w:val="heading 1"/>
    <w:basedOn w:val="a"/>
    <w:next w:val="a0"/>
    <w:link w:val="10"/>
    <w:uiPriority w:val="9"/>
    <w:qFormat/>
    <w:rsid w:val="00D00EB3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text1" w:val="000000"/>
      <w:sz w:val="40"/>
      <w:szCs w:val="40"/>
    </w:rPr>
  </w:style>
  <w:style w:styleId="2" w:type="paragraph">
    <w:name w:val="heading 2"/>
    <w:basedOn w:val="a"/>
    <w:next w:val="a0"/>
    <w:link w:val="20"/>
    <w:uiPriority w:val="9"/>
    <w:semiHidden/>
    <w:unhideWhenUsed/>
    <w:qFormat/>
    <w:rsid w:val="00D00EB3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text1" w:val="000000"/>
      <w:sz w:val="32"/>
      <w:szCs w:val="32"/>
    </w:rPr>
  </w:style>
  <w:style w:styleId="3" w:type="paragraph">
    <w:name w:val="heading 3"/>
    <w:basedOn w:val="a"/>
    <w:next w:val="a0"/>
    <w:link w:val="30"/>
    <w:uiPriority w:val="9"/>
    <w:semiHidden/>
    <w:unhideWhenUsed/>
    <w:qFormat/>
    <w:rsid w:val="00D00EB3"/>
    <w:pPr>
      <w:keepNext/>
      <w:keepLines/>
      <w:spacing w:after="80" w:before="160"/>
      <w:outlineLvl w:val="2"/>
    </w:pPr>
    <w:rPr>
      <w:rFonts w:cstheme="majorBidi" w:eastAsiaTheme="majorEastAsia"/>
      <w:sz w:val="28"/>
      <w:szCs w:val="28"/>
    </w:rPr>
  </w:style>
  <w:style w:styleId="4" w:type="paragraph">
    <w:name w:val="heading 4"/>
    <w:basedOn w:val="a"/>
    <w:next w:val="a0"/>
    <w:link w:val="40"/>
    <w:uiPriority w:val="9"/>
    <w:semiHidden/>
    <w:unhideWhenUsed/>
    <w:qFormat/>
    <w:rsid w:val="00D00EB3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text1" w:val="000000"/>
    </w:rPr>
  </w:style>
  <w:style w:styleId="5" w:type="paragraph">
    <w:name w:val="heading 5"/>
    <w:basedOn w:val="a"/>
    <w:next w:val="a0"/>
    <w:link w:val="50"/>
    <w:uiPriority w:val="9"/>
    <w:semiHidden/>
    <w:unhideWhenUsed/>
    <w:qFormat/>
    <w:rsid w:val="00D00EB3"/>
    <w:pPr>
      <w:keepNext/>
      <w:keepLines/>
      <w:spacing w:after="40" w:before="80"/>
      <w:outlineLvl w:val="4"/>
    </w:pPr>
    <w:rPr>
      <w:rFonts w:cstheme="majorBidi" w:eastAsiaTheme="majorEastAsia"/>
      <w:color w:themeColor="text1" w:val="000000"/>
    </w:rPr>
  </w:style>
  <w:style w:styleId="6" w:type="paragraph">
    <w:name w:val="heading 6"/>
    <w:basedOn w:val="a"/>
    <w:next w:val="a0"/>
    <w:link w:val="60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7" w:type="paragraph">
    <w:name w:val="heading 7"/>
    <w:basedOn w:val="a"/>
    <w:next w:val="a0"/>
    <w:link w:val="70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8" w:type="paragraph">
    <w:name w:val="heading 8"/>
    <w:basedOn w:val="a"/>
    <w:next w:val="a0"/>
    <w:link w:val="80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9" w:type="paragraph">
    <w:name w:val="heading 9"/>
    <w:basedOn w:val="a"/>
    <w:next w:val="a0"/>
    <w:link w:val="90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default="1" w:styleId="a1" w:type="character">
    <w:name w:val="Default Paragraph Font"/>
    <w:uiPriority w:val="1"/>
    <w:semiHidden/>
    <w:unhideWhenUsed/>
  </w:style>
  <w:style w:default="1" w:styleId="a2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a3" w:type="numbering">
    <w:name w:val="No List"/>
    <w:uiPriority w:val="99"/>
    <w:semiHidden/>
    <w:unhideWhenUsed/>
  </w:style>
  <w:style w:customStyle="1" w:styleId="Compact" w:type="paragraph">
    <w:name w:val="Compact"/>
    <w:next w:val="Compact0"/>
    <w:qFormat/>
    <w:rsid w:val="002F2FBF"/>
    <w:pPr>
      <w:spacing w:after="36" w:before="36"/>
    </w:pPr>
  </w:style>
  <w:style w:styleId="a0" w:type="paragraph">
    <w:name w:val="Body Text"/>
    <w:basedOn w:val="a"/>
    <w:qFormat/>
    <w:rsid w:val="00D00EB3"/>
    <w:pPr>
      <w:spacing w:after="180" w:before="180" w:line="312" w:lineRule="auto"/>
    </w:pPr>
  </w:style>
  <w:style w:customStyle="1" w:styleId="FirstParagraph" w:type="paragraph">
    <w:name w:val="First Paragraph"/>
    <w:basedOn w:val="a0"/>
    <w:next w:val="a0"/>
    <w:qFormat/>
  </w:style>
  <w:style w:customStyle="1" w:styleId="Compact0" w:type="paragraph">
    <w:name w:val="Compact"/>
    <w:basedOn w:val="a0"/>
    <w:qFormat/>
    <w:pPr>
      <w:spacing w:after="36" w:before="36"/>
    </w:pPr>
  </w:style>
  <w:style w:styleId="a4" w:type="paragraph">
    <w:name w:val="Title"/>
    <w:basedOn w:val="a"/>
    <w:next w:val="a0"/>
    <w:link w:val="a5"/>
    <w:uiPriority w:val="10"/>
    <w:qFormat/>
    <w:rsid w:val="00A10FD9"/>
    <w:pPr>
      <w:spacing w:after="80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a5" w:type="character">
    <w:name w:val="标题 字符"/>
    <w:basedOn w:val="a1"/>
    <w:link w:val="a4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a6" w:type="paragraph">
    <w:name w:val="Subtitle"/>
    <w:basedOn w:val="a4"/>
    <w:next w:val="a0"/>
    <w:link w:val="a7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customStyle="1" w:styleId="a7" w:type="character">
    <w:name w:val="副标题 字符"/>
    <w:basedOn w:val="a1"/>
    <w:link w:val="a6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a4"/>
    <w:next w:val="a0"/>
    <w:qFormat/>
    <w:pPr>
      <w:keepNext/>
      <w:keepLines/>
    </w:pPr>
    <w:rPr>
      <w:sz w:val="24"/>
      <w:szCs w:val="24"/>
    </w:rPr>
  </w:style>
  <w:style w:styleId="a8" w:type="paragraph">
    <w:name w:val="Date"/>
    <w:basedOn w:val="a4"/>
    <w:next w:val="a0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a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a"/>
    <w:next w:val="a0"/>
    <w:qFormat/>
    <w:pPr>
      <w:keepNext/>
      <w:keepLines/>
      <w:spacing w:after="300" w:before="100"/>
    </w:pPr>
    <w:rPr>
      <w:sz w:val="20"/>
      <w:szCs w:val="20"/>
    </w:rPr>
  </w:style>
  <w:style w:styleId="a9" w:type="paragraph">
    <w:name w:val="Bibliography"/>
    <w:basedOn w:val="a"/>
    <w:qFormat/>
  </w:style>
  <w:style w:customStyle="1" w:styleId="10" w:type="character">
    <w:name w:val="标题 1 字符"/>
    <w:basedOn w:val="a1"/>
    <w:link w:val="1"/>
    <w:uiPriority w:val="9"/>
    <w:rsid w:val="00D00EB3"/>
    <w:rPr>
      <w:rFonts w:asciiTheme="majorHAnsi" w:cstheme="majorBidi" w:eastAsiaTheme="majorEastAsia" w:hAnsiTheme="majorHAnsi"/>
      <w:color w:themeColor="text1" w:val="000000"/>
      <w:sz w:val="40"/>
      <w:szCs w:val="40"/>
    </w:rPr>
  </w:style>
  <w:style w:customStyle="1" w:styleId="20" w:type="character">
    <w:name w:val="标题 2 字符"/>
    <w:basedOn w:val="a1"/>
    <w:link w:val="2"/>
    <w:uiPriority w:val="9"/>
    <w:semiHidden/>
    <w:rsid w:val="00D00EB3"/>
    <w:rPr>
      <w:rFonts w:asciiTheme="majorHAnsi" w:cstheme="majorBidi" w:eastAsiaTheme="majorEastAsia" w:hAnsiTheme="majorHAnsi"/>
      <w:color w:themeColor="text1" w:val="000000"/>
      <w:sz w:val="32"/>
      <w:szCs w:val="32"/>
    </w:rPr>
  </w:style>
  <w:style w:customStyle="1" w:styleId="30" w:type="character">
    <w:name w:val="标题 3 字符"/>
    <w:basedOn w:val="a1"/>
    <w:link w:val="3"/>
    <w:uiPriority w:val="9"/>
    <w:semiHidden/>
    <w:rsid w:val="00D00EB3"/>
    <w:rPr>
      <w:rFonts w:cstheme="majorBidi" w:eastAsiaTheme="majorEastAsia"/>
      <w:sz w:val="28"/>
      <w:szCs w:val="28"/>
    </w:rPr>
  </w:style>
  <w:style w:customStyle="1" w:styleId="40" w:type="character">
    <w:name w:val="标题 4 字符"/>
    <w:basedOn w:val="a1"/>
    <w:link w:val="4"/>
    <w:uiPriority w:val="9"/>
    <w:semiHidden/>
    <w:rsid w:val="00D00EB3"/>
    <w:rPr>
      <w:rFonts w:cstheme="majorBidi" w:eastAsiaTheme="majorEastAsia"/>
      <w:i/>
      <w:iCs/>
      <w:color w:themeColor="text1" w:val="000000"/>
    </w:rPr>
  </w:style>
  <w:style w:customStyle="1" w:styleId="50" w:type="character">
    <w:name w:val="标题 5 字符"/>
    <w:basedOn w:val="a1"/>
    <w:link w:val="5"/>
    <w:uiPriority w:val="9"/>
    <w:semiHidden/>
    <w:rsid w:val="00D00EB3"/>
    <w:rPr>
      <w:rFonts w:cstheme="majorBidi" w:eastAsiaTheme="majorEastAsia"/>
      <w:color w:themeColor="text1" w:val="000000"/>
    </w:rPr>
  </w:style>
  <w:style w:customStyle="1" w:styleId="60" w:type="character">
    <w:name w:val="标题 6 字符"/>
    <w:basedOn w:val="a1"/>
    <w:link w:val="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70" w:type="character">
    <w:name w:val="标题 7 字符"/>
    <w:basedOn w:val="a1"/>
    <w:link w:val="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80" w:type="character">
    <w:name w:val="标题 8 字符"/>
    <w:basedOn w:val="a1"/>
    <w:link w:val="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90" w:type="character">
    <w:name w:val="标题 9 字符"/>
    <w:basedOn w:val="a1"/>
    <w:link w:val="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aa" w:type="paragraph">
    <w:name w:val="Block Text"/>
    <w:basedOn w:val="a0"/>
    <w:next w:val="a0"/>
    <w:uiPriority w:val="9"/>
    <w:unhideWhenUsed/>
    <w:qFormat/>
    <w:pPr>
      <w:spacing w:after="100" w:before="100"/>
      <w:ind w:left="480" w:right="480"/>
    </w:pPr>
  </w:style>
  <w:style w:styleId="ab" w:type="paragraph">
    <w:name w:val="footnote text"/>
    <w:basedOn w:val="a"/>
    <w:uiPriority w:val="9"/>
    <w:unhideWhenUsed/>
    <w:qFormat/>
  </w:style>
  <w:style w:customStyle="1" w:styleId="FootnoteBlockText" w:type="paragraph">
    <w:name w:val="Footnote Block Text"/>
    <w:basedOn w:val="ab"/>
    <w:next w:val="ab"/>
    <w:uiPriority w:val="9"/>
    <w:unhideWhenUsed/>
    <w:qFormat/>
    <w:pPr>
      <w:spacing w:after="100" w:before="100"/>
      <w:ind w:left="480" w:right="480"/>
    </w:pPr>
  </w:style>
  <w:style w:customStyle="1" w:styleId="Table" w:type="table">
    <w:name w:val="Table"/>
    <w:semiHidden/>
    <w:unhideWhenUsed/>
    <w:qFormat/>
    <w:rsid w:val="002F2FBF"/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</w:tblPr>
      <w:trPr>
        <w:jc w:val="left"/>
      </w:trPr>
      <w:tcPr>
        <w:tcBorders>
          <w:bottom w:color="auto" w:space="0" w:sz="0" w:val="single"/>
        </w:tcBorders>
        <w:vAlign w:val="bottom"/>
      </w:tcPr>
    </w:tblStylePr>
  </w:style>
  <w:style w:customStyle="1" w:styleId="DefinitionTerm" w:type="paragraph">
    <w:name w:val="Definition Term"/>
    <w:basedOn w:val="a"/>
    <w:next w:val="Definition"/>
    <w:rsid w:val="00297854"/>
    <w:pPr>
      <w:keepNext/>
      <w:keepLines/>
      <w:spacing w:after="0" w:line="288" w:lineRule="auto"/>
    </w:pPr>
    <w:rPr>
      <w:b/>
    </w:rPr>
  </w:style>
  <w:style w:customStyle="1" w:styleId="Definition" w:type="paragraph">
    <w:name w:val="Definition"/>
    <w:basedOn w:val="a"/>
    <w:rsid w:val="00297854"/>
    <w:pPr>
      <w:spacing w:line="312" w:lineRule="auto"/>
    </w:pPr>
  </w:style>
  <w:style w:styleId="ac" w:type="paragraph">
    <w:name w:val="caption"/>
    <w:basedOn w:val="a"/>
    <w:link w:val="ad"/>
    <w:pPr>
      <w:spacing w:after="120"/>
    </w:pPr>
    <w:rPr>
      <w:i/>
    </w:rPr>
  </w:style>
  <w:style w:customStyle="1" w:styleId="TableCaption" w:type="paragraph">
    <w:name w:val="Table Caption"/>
    <w:basedOn w:val="ac"/>
    <w:pPr>
      <w:keepNext/>
    </w:pPr>
  </w:style>
  <w:style w:customStyle="1" w:styleId="ImageCaption" w:type="paragraph">
    <w:name w:val="Image Caption"/>
    <w:basedOn w:val="ac"/>
  </w:style>
  <w:style w:customStyle="1" w:styleId="Figure" w:type="paragraph">
    <w:name w:val="Figure"/>
    <w:basedOn w:val="a"/>
  </w:style>
  <w:style w:customStyle="1" w:styleId="CaptionedFigure" w:type="paragraph">
    <w:name w:val="Captioned Figure"/>
    <w:basedOn w:val="Figure"/>
    <w:pPr>
      <w:keepNext/>
    </w:pPr>
  </w:style>
  <w:style w:customStyle="1" w:styleId="ad" w:type="character">
    <w:name w:val="题注 字符"/>
    <w:basedOn w:val="a1"/>
    <w:link w:val="ac"/>
  </w:style>
  <w:style w:customStyle="1" w:styleId="VerbatimChar" w:type="character">
    <w:name w:val="Verbatim Char"/>
    <w:basedOn w:val="ad"/>
    <w:rPr>
      <w:rFonts w:ascii="Consolas" w:hAnsi="Consolas"/>
      <w:sz w:val="22"/>
    </w:rPr>
  </w:style>
  <w:style w:customStyle="1" w:styleId="SectionNumber" w:type="character">
    <w:name w:val="Section Number"/>
    <w:basedOn w:val="ad"/>
  </w:style>
  <w:style w:styleId="ae" w:type="character">
    <w:name w:val="footnote reference"/>
    <w:basedOn w:val="ad"/>
    <w:rPr>
      <w:vertAlign w:val="superscript"/>
    </w:rPr>
  </w:style>
  <w:style w:styleId="af" w:type="character">
    <w:name w:val="Hyperlink"/>
    <w:basedOn w:val="ad"/>
    <w:rPr>
      <w:color w:themeColor="accent1" w:val="156082"/>
    </w:rPr>
  </w:style>
  <w:style w:styleId="TOC" w:type="paragraph">
    <w:name w:val="TOC Heading"/>
    <w:basedOn w:val="1"/>
    <w:next w:val="a0"/>
    <w:uiPriority w:val="39"/>
    <w:unhideWhenUsed/>
    <w:qFormat/>
    <w:pPr>
      <w:spacing w:before="240" w:line="259" w:lineRule="auto"/>
      <w:outlineLvl w:val="9"/>
    </w:pPr>
  </w:style>
  <w:style w:styleId="af0" w:type="table">
    <w:name w:val="Table Grid"/>
    <w:rsid w:val="002F2FBF"/>
    <w:pPr>
      <w:spacing w:after="0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0"/>
        <w:bottom w:type="dxa" w:w="0"/>
        <w:right w:type="dxa" w:w="0"/>
      </w:tblCellMar>
    </w:tbl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jp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64</Words>
  <Characters>371</Characters>
  <Application>Microsoft Office Word</Application>
  <DocSecurity>0</DocSecurity>
  <Lines>3</Lines>
  <Paragraphs>1</Paragraphs>
  <ScaleCrop>false</ScaleCrop>
  <Company/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dc:language/>
  <cp:keywords/>
  <dcterms:created xsi:type="dcterms:W3CDTF">2025-11-15T03:24:28Z</dcterms:created>
  <dcterms:modified xsi:type="dcterms:W3CDTF">2025-11-15T03:24:28Z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viewport">
    <vt:lpwstr>width=device-width, initial-scale=1.0, user-scalable=yes</vt:lpwstr>
  </property>
</Properties>
</file>